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rPr>
          <w:rFonts w:ascii="Times New Roman" w:hAnsi="Times New Roman" w:cs="Times New Roman"/>
          <w:b/>
          <w:color w:val="auto"/>
          <w:sz w:val="24"/>
          <w:szCs w:val="24"/>
          <w:lang w:val="en-GB"/>
        </w:rPr>
      </w:pPr>
      <w:r>
        <w:rPr>
          <w:rFonts w:ascii="Times New Roman" w:hAnsi="Times New Roman" w:cs="Times New Roman"/>
          <w:b/>
          <w:color w:val="auto"/>
          <w:sz w:val="24"/>
          <w:szCs w:val="24"/>
          <w:lang w:val="en-GB"/>
        </w:rPr>
        <w:t>Experimental animal management</w:t>
      </w:r>
    </w:p>
    <w:p>
      <w:pPr>
        <w:pStyle w:val="4"/>
        <w:spacing w:line="360" w:lineRule="auto"/>
        <w:rPr>
          <w:rFonts w:hint="eastAsia" w:ascii="Times New Roman" w:hAnsi="Times New Roman" w:cs="Times New Roman"/>
          <w:color w:val="auto"/>
          <w:sz w:val="24"/>
          <w:szCs w:val="24"/>
          <w:lang w:val="en-GB"/>
        </w:rPr>
      </w:pPr>
      <w:r>
        <w:rPr>
          <w:rFonts w:ascii="Times New Roman" w:hAnsi="Times New Roman" w:cs="Times New Roman"/>
          <w:color w:val="auto"/>
          <w:sz w:val="24"/>
          <w:szCs w:val="24"/>
          <w:lang w:val="en-GB"/>
        </w:rPr>
        <w:t>Six 28-d-old SPF chickens were inoculated with Newcastle disease vaccine</w:t>
      </w:r>
      <w:r>
        <w:rPr>
          <w:rFonts w:hint="eastAsia" w:ascii="Times New Roman" w:hAnsi="Times New Roman" w:cs="Times New Roman"/>
          <w:color w:val="auto"/>
          <w:sz w:val="24"/>
          <w:szCs w:val="24"/>
          <w:lang w:val="en-GB"/>
        </w:rPr>
        <w:t xml:space="preserve"> </w:t>
      </w:r>
      <w:r>
        <w:rPr>
          <w:rFonts w:ascii="Times New Roman" w:hAnsi="Times New Roman" w:cs="Times New Roman"/>
          <w:color w:val="auto"/>
          <w:sz w:val="24"/>
          <w:szCs w:val="24"/>
          <w:lang w:val="en-GB"/>
        </w:rPr>
        <w:t>(NDV</w:t>
      </w:r>
      <w:r>
        <w:rPr>
          <w:rFonts w:hint="eastAsia" w:ascii="Times New Roman" w:hAnsi="Times New Roman" w:cs="Times New Roman"/>
          <w:color w:val="auto"/>
          <w:sz w:val="24"/>
          <w:szCs w:val="24"/>
          <w:lang w:val="en-GB"/>
        </w:rPr>
        <w:t>, o</w:t>
      </w:r>
      <w:r>
        <w:rPr>
          <w:rFonts w:ascii="Times New Roman" w:hAnsi="Times New Roman" w:cs="Times New Roman"/>
          <w:color w:val="auto"/>
          <w:sz w:val="24"/>
          <w:szCs w:val="24"/>
          <w:lang w:val="en-GB"/>
        </w:rPr>
        <w:t>nly as antigen) and served as experimental group, and three 28-d-old SPF chickens were not inoculated with Newcastle disease vaccine and served as control group. Antibody levels were detected after 7 d of rearing. The experimental chickens w</w:t>
      </w:r>
      <w:r>
        <w:rPr>
          <w:rFonts w:hint="eastAsia" w:ascii="Times New Roman" w:hAnsi="Times New Roman" w:cs="Times New Roman"/>
          <w:color w:val="auto"/>
          <w:sz w:val="24"/>
          <w:szCs w:val="24"/>
          <w:lang w:val="en-GB"/>
        </w:rPr>
        <w:t>ere</w:t>
      </w:r>
      <w:r>
        <w:rPr>
          <w:rFonts w:ascii="Times New Roman" w:hAnsi="Times New Roman" w:cs="Times New Roman"/>
          <w:color w:val="auto"/>
          <w:sz w:val="24"/>
          <w:szCs w:val="24"/>
          <w:lang w:val="en-GB"/>
        </w:rPr>
        <w:t xml:space="preserve"> divided into three groups: control group (24 ± 1℃ for 3 h), vaccination group (24 ± 1℃ for 3 h) and heat treatment vaccination group (36 ± 1℃ for 3 h), three 38-d-old SPF chickens in each group. Then, spleen</w:t>
      </w:r>
      <w:r>
        <w:rPr>
          <w:rFonts w:ascii="Times New Roman" w:hAnsi="Times New Roman" w:cs="Times New Roman"/>
          <w:color w:val="auto"/>
        </w:rPr>
        <w:t xml:space="preserve"> </w:t>
      </w:r>
      <w:r>
        <w:rPr>
          <w:rFonts w:ascii="Times New Roman" w:hAnsi="Times New Roman" w:cs="Times New Roman"/>
          <w:color w:val="auto"/>
          <w:sz w:val="24"/>
          <w:szCs w:val="24"/>
        </w:rPr>
        <w:t>and</w:t>
      </w:r>
      <w:r>
        <w:rPr>
          <w:rFonts w:ascii="Times New Roman" w:hAnsi="Times New Roman" w:cs="Times New Roman"/>
          <w:color w:val="auto"/>
        </w:rPr>
        <w:t xml:space="preserve"> </w:t>
      </w:r>
      <w:r>
        <w:rPr>
          <w:rFonts w:ascii="Times New Roman" w:hAnsi="Times New Roman" w:cs="Times New Roman"/>
          <w:color w:val="auto"/>
          <w:sz w:val="24"/>
          <w:szCs w:val="24"/>
          <w:lang w:val="en-GB"/>
        </w:rPr>
        <w:t>Bursa of Fabricius tissue of these chicks were harvested for RNA-seq. Blood samples were collected at -20 ℃ for preservation. Tissue samples were stored in liquid nitrogen.</w:t>
      </w:r>
      <w:r>
        <w:rPr>
          <w:rFonts w:hint="eastAsia" w:ascii="Times New Roman" w:hAnsi="Times New Roman" w:cs="Times New Roman"/>
          <w:color w:val="auto"/>
          <w:sz w:val="24"/>
          <w:szCs w:val="24"/>
          <w:lang w:val="en-GB"/>
        </w:rPr>
        <w:t xml:space="preserve"> </w:t>
      </w:r>
    </w:p>
    <w:p>
      <w:pPr>
        <w:pStyle w:val="4"/>
        <w:spacing w:line="360" w:lineRule="auto"/>
        <w:rPr>
          <w:rFonts w:hint="eastAsia" w:ascii="Times New Roman" w:hAnsi="Times New Roman" w:cs="Times New Roman"/>
          <w:color w:val="auto"/>
          <w:sz w:val="24"/>
          <w:szCs w:val="24"/>
          <w:lang w:val="en-GB"/>
        </w:rPr>
      </w:pPr>
    </w:p>
    <w:p>
      <w:pPr>
        <w:pStyle w:val="4"/>
        <w:spacing w:line="360" w:lineRule="auto"/>
        <w:rPr>
          <w:rFonts w:hint="eastAsia" w:ascii="Times New Roman" w:hAnsi="Times New Roman" w:cs="Times New Roman"/>
          <w:b/>
          <w:color w:val="auto"/>
          <w:sz w:val="24"/>
          <w:szCs w:val="24"/>
          <w:lang w:val="en-GB"/>
        </w:rPr>
      </w:pPr>
      <w:r>
        <w:rPr>
          <w:rFonts w:hint="eastAsia" w:ascii="Times New Roman" w:hAnsi="Times New Roman" w:cs="Times New Roman"/>
          <w:b/>
          <w:color w:val="auto"/>
          <w:sz w:val="24"/>
          <w:szCs w:val="24"/>
          <w:lang w:val="en-GB"/>
        </w:rPr>
        <w:t>Bloodletting method</w:t>
      </w:r>
    </w:p>
    <w:p>
      <w:pPr>
        <w:pStyle w:val="4"/>
        <w:spacing w:line="360" w:lineRule="auto"/>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GB"/>
        </w:rPr>
        <w:t>The chicken was stunned with a stun gun and promptly exsanguinated through the jugular vein</w:t>
      </w:r>
      <w:r>
        <w:rPr>
          <w:rFonts w:hint="eastAsia" w:ascii="Times New Roman" w:hAnsi="Times New Roman" w:cs="Times New Roman"/>
          <w:color w:val="auto"/>
          <w:sz w:val="24"/>
          <w:szCs w:val="24"/>
          <w:lang w:val="en-US" w:eastAsia="zh-CN"/>
        </w:rPr>
        <w:t>.</w:t>
      </w:r>
    </w:p>
    <w:p/>
    <w:p>
      <w:pPr>
        <w:spacing w:line="360" w:lineRule="auto"/>
        <w:jc w:val="left"/>
        <w:rPr>
          <w:rFonts w:hint="eastAsia" w:ascii="Times New Roman" w:hAnsi="Times New Roman" w:eastAsia="宋体" w:cs="Times New Roman"/>
          <w:b/>
          <w:color w:val="auto"/>
          <w:kern w:val="2"/>
          <w:sz w:val="24"/>
          <w:szCs w:val="24"/>
          <w:lang w:val="en-GB" w:eastAsia="zh-CN" w:bidi="ar-SA"/>
        </w:rPr>
      </w:pPr>
      <w:r>
        <w:rPr>
          <w:rFonts w:hint="eastAsia" w:ascii="Times New Roman" w:hAnsi="Times New Roman" w:eastAsia="宋体" w:cs="Times New Roman"/>
          <w:b/>
          <w:color w:val="auto"/>
          <w:kern w:val="2"/>
          <w:sz w:val="24"/>
          <w:szCs w:val="24"/>
          <w:lang w:val="en-GB" w:eastAsia="zh-CN" w:bidi="ar-SA"/>
        </w:rPr>
        <w:t>Ethics approval and consent to participate</w:t>
      </w:r>
    </w:p>
    <w:p>
      <w:pPr>
        <w:spacing w:line="360" w:lineRule="auto"/>
        <w:jc w:val="left"/>
        <w:rPr>
          <w:rFonts w:hint="eastAsia" w:ascii="Times New Roman" w:hAnsi="Times New Roman" w:eastAsia="宋体" w:cs="Times New Roman"/>
          <w:color w:val="auto"/>
          <w:kern w:val="2"/>
          <w:sz w:val="24"/>
          <w:szCs w:val="24"/>
          <w:lang w:val="en-GB" w:eastAsia="zh-CN" w:bidi="ar-SA"/>
        </w:rPr>
      </w:pPr>
      <w:r>
        <w:rPr>
          <w:rFonts w:hint="eastAsia" w:ascii="Times New Roman" w:hAnsi="Times New Roman" w:eastAsia="宋体" w:cs="Times New Roman"/>
          <w:color w:val="auto"/>
          <w:kern w:val="2"/>
          <w:sz w:val="24"/>
          <w:szCs w:val="24"/>
          <w:lang w:val="en-GB" w:eastAsia="zh-CN" w:bidi="ar-SA"/>
        </w:rPr>
        <w:t xml:space="preserve">All experimental and animal management procedures were undertaken in accordance to the requirements of the animal care and ethics committee of the College of Animal Science, South China Agricultural University, P.R.China. </w:t>
      </w:r>
    </w:p>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A665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paragraph" w:styleId="4">
    <w:name w:val="No Spacing"/>
    <w:qFormat/>
    <w:uiPriority w:val="1"/>
    <w:pPr>
      <w:widowControl w:val="0"/>
      <w:jc w:val="both"/>
    </w:pPr>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12571</dc:creator>
  <cp:lastModifiedBy>圣光</cp:lastModifiedBy>
  <dcterms:modified xsi:type="dcterms:W3CDTF">2019-07-05T01:44:41Z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